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092" w:rsidRDefault="00416092" w:rsidP="00416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Доповідь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педагогічну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раду</w:t>
      </w:r>
    </w:p>
    <w:p w:rsidR="00416092" w:rsidRDefault="00416092" w:rsidP="00416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6092" w:rsidRDefault="00416092" w:rsidP="00416092">
      <w:pPr>
        <w:spacing w:after="0" w:line="240" w:lineRule="auto"/>
        <w:ind w:left="637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Підготувала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:rsidR="00416092" w:rsidRDefault="00416092" w:rsidP="00416092">
      <w:pPr>
        <w:spacing w:after="0" w:line="240" w:lineRule="auto"/>
        <w:ind w:left="637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вихователь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-методист </w:t>
      </w:r>
    </w:p>
    <w:p w:rsidR="00416092" w:rsidRDefault="00416092" w:rsidP="00416092">
      <w:pPr>
        <w:spacing w:after="0" w:line="240" w:lineRule="auto"/>
        <w:ind w:left="637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Ольга ПАРХОМЕНКО</w:t>
      </w:r>
    </w:p>
    <w:p w:rsidR="00C1706B" w:rsidRPr="00C40CE7" w:rsidRDefault="00C1706B" w:rsidP="00682FC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808E8" w:rsidRDefault="006808E8" w:rsidP="00682FC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Засвоєння вихованцями дошкільного підрозділу </w:t>
      </w:r>
    </w:p>
    <w:p w:rsidR="006808E8" w:rsidRDefault="006808E8" w:rsidP="00682FC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Базового компоненту, як Державного стандарту дошкільної освіти </w:t>
      </w:r>
    </w:p>
    <w:p w:rsidR="00C40CE7" w:rsidRPr="006808E8" w:rsidRDefault="006808E8" w:rsidP="00682FC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808E8">
        <w:rPr>
          <w:rFonts w:ascii="Times New Roman" w:hAnsi="Times New Roman" w:cs="Times New Roman"/>
          <w:bCs/>
          <w:sz w:val="24"/>
          <w:szCs w:val="24"/>
          <w:lang w:val="uk-UA"/>
        </w:rPr>
        <w:t>(п</w:t>
      </w:r>
      <w:r w:rsidR="00682FCF" w:rsidRPr="006808E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ро результати моніторингового дослідження </w:t>
      </w:r>
    </w:p>
    <w:p w:rsidR="00C40CE7" w:rsidRPr="006808E8" w:rsidRDefault="00682FCF" w:rsidP="00682FC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6808E8">
        <w:rPr>
          <w:rFonts w:ascii="Times New Roman" w:hAnsi="Times New Roman" w:cs="Times New Roman"/>
          <w:bCs/>
          <w:sz w:val="24"/>
          <w:szCs w:val="24"/>
        </w:rPr>
        <w:t>рівня</w:t>
      </w:r>
      <w:proofErr w:type="spellEnd"/>
      <w:r w:rsidRPr="006808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08E8">
        <w:rPr>
          <w:rFonts w:ascii="Times New Roman" w:hAnsi="Times New Roman" w:cs="Times New Roman"/>
          <w:bCs/>
          <w:sz w:val="24"/>
          <w:szCs w:val="24"/>
        </w:rPr>
        <w:t>сформованості</w:t>
      </w:r>
      <w:proofErr w:type="spellEnd"/>
      <w:r w:rsidRPr="006808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08E8">
        <w:rPr>
          <w:rFonts w:ascii="Times New Roman" w:hAnsi="Times New Roman" w:cs="Times New Roman"/>
          <w:bCs/>
          <w:sz w:val="24"/>
          <w:szCs w:val="24"/>
        </w:rPr>
        <w:t>компетентності</w:t>
      </w:r>
      <w:proofErr w:type="spellEnd"/>
      <w:r w:rsidRPr="006808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08E8">
        <w:rPr>
          <w:rFonts w:ascii="Times New Roman" w:hAnsi="Times New Roman" w:cs="Times New Roman"/>
          <w:bCs/>
          <w:sz w:val="24"/>
          <w:szCs w:val="24"/>
        </w:rPr>
        <w:t>дітей</w:t>
      </w:r>
      <w:proofErr w:type="spellEnd"/>
      <w:r w:rsidRPr="006808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08E8">
        <w:rPr>
          <w:rFonts w:ascii="Times New Roman" w:hAnsi="Times New Roman" w:cs="Times New Roman"/>
          <w:bCs/>
          <w:sz w:val="24"/>
          <w:szCs w:val="24"/>
        </w:rPr>
        <w:t>дошкільного</w:t>
      </w:r>
      <w:proofErr w:type="spellEnd"/>
      <w:r w:rsidRPr="006808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08E8">
        <w:rPr>
          <w:rFonts w:ascii="Times New Roman" w:hAnsi="Times New Roman" w:cs="Times New Roman"/>
          <w:bCs/>
          <w:sz w:val="24"/>
          <w:szCs w:val="24"/>
        </w:rPr>
        <w:t>віку</w:t>
      </w:r>
      <w:proofErr w:type="spellEnd"/>
      <w:r w:rsidRPr="006808E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682FCF" w:rsidRPr="006808E8" w:rsidRDefault="00682FCF" w:rsidP="00682FC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808E8">
        <w:rPr>
          <w:rFonts w:ascii="Times New Roman" w:hAnsi="Times New Roman" w:cs="Times New Roman"/>
          <w:bCs/>
          <w:sz w:val="24"/>
          <w:szCs w:val="24"/>
          <w:lang w:val="uk-UA"/>
        </w:rPr>
        <w:t>ЗПШ «Еврика» за І</w:t>
      </w:r>
      <w:r w:rsidR="00C3794C" w:rsidRPr="006808E8">
        <w:rPr>
          <w:rFonts w:ascii="Times New Roman" w:hAnsi="Times New Roman" w:cs="Times New Roman"/>
          <w:bCs/>
          <w:sz w:val="24"/>
          <w:szCs w:val="24"/>
          <w:lang w:val="uk-UA"/>
        </w:rPr>
        <w:t>І</w:t>
      </w:r>
      <w:r w:rsidRPr="006808E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півріччя 2022-2023 навчального року</w:t>
      </w:r>
      <w:r w:rsidR="006808E8" w:rsidRPr="006808E8">
        <w:rPr>
          <w:rFonts w:ascii="Times New Roman" w:hAnsi="Times New Roman" w:cs="Times New Roman"/>
          <w:bCs/>
          <w:sz w:val="24"/>
          <w:szCs w:val="24"/>
          <w:lang w:val="uk-UA"/>
        </w:rPr>
        <w:t>)</w:t>
      </w:r>
    </w:p>
    <w:p w:rsidR="00682FCF" w:rsidRDefault="00682FCF" w:rsidP="00682FC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65FAF" w:rsidRPr="00CD5236" w:rsidRDefault="00365FAF" w:rsidP="006808E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="00B62FF1">
        <w:rPr>
          <w:rFonts w:ascii="Times New Roman" w:hAnsi="Times New Roman" w:cs="Times New Roman"/>
          <w:bCs/>
          <w:sz w:val="24"/>
          <w:szCs w:val="24"/>
        </w:rPr>
        <w:t>Відповідно</w:t>
      </w:r>
      <w:proofErr w:type="spellEnd"/>
      <w:r w:rsidR="00B62FF1">
        <w:rPr>
          <w:rFonts w:ascii="Times New Roman" w:hAnsi="Times New Roman" w:cs="Times New Roman"/>
          <w:bCs/>
          <w:sz w:val="24"/>
          <w:szCs w:val="24"/>
        </w:rPr>
        <w:t xml:space="preserve"> до </w:t>
      </w:r>
      <w:proofErr w:type="spellStart"/>
      <w:r w:rsidR="00C3794C">
        <w:rPr>
          <w:rFonts w:ascii="Times New Roman" w:hAnsi="Times New Roman" w:cs="Times New Roman"/>
          <w:bCs/>
          <w:sz w:val="24"/>
          <w:szCs w:val="24"/>
          <w:lang w:val="uk-UA"/>
        </w:rPr>
        <w:t>річого</w:t>
      </w:r>
      <w:proofErr w:type="spellEnd"/>
      <w:r w:rsidR="00C3794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CD5236">
        <w:rPr>
          <w:rFonts w:ascii="Times New Roman" w:hAnsi="Times New Roman" w:cs="Times New Roman"/>
          <w:bCs/>
          <w:sz w:val="24"/>
          <w:szCs w:val="24"/>
        </w:rPr>
        <w:t xml:space="preserve">плану </w:t>
      </w:r>
      <w:proofErr w:type="spellStart"/>
      <w:r w:rsidR="00CD5236">
        <w:rPr>
          <w:rFonts w:ascii="Times New Roman" w:hAnsi="Times New Roman" w:cs="Times New Roman"/>
          <w:bCs/>
          <w:sz w:val="24"/>
          <w:szCs w:val="24"/>
        </w:rPr>
        <w:t>роботи</w:t>
      </w:r>
      <w:proofErr w:type="spellEnd"/>
      <w:r w:rsidR="00CD5236">
        <w:rPr>
          <w:rFonts w:ascii="Times New Roman" w:hAnsi="Times New Roman" w:cs="Times New Roman"/>
          <w:bCs/>
          <w:sz w:val="24"/>
          <w:szCs w:val="24"/>
        </w:rPr>
        <w:t xml:space="preserve"> закладу на 202</w:t>
      </w:r>
      <w:r w:rsidR="00CD5236"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 w:rsidR="00B62FF1">
        <w:rPr>
          <w:rFonts w:ascii="Times New Roman" w:hAnsi="Times New Roman" w:cs="Times New Roman"/>
          <w:bCs/>
          <w:sz w:val="24"/>
          <w:szCs w:val="24"/>
        </w:rPr>
        <w:t>-2023</w:t>
      </w:r>
      <w:r w:rsidR="00B62FF1" w:rsidRPr="00B62F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62FF1" w:rsidRPr="00B62FF1">
        <w:rPr>
          <w:rFonts w:ascii="Times New Roman" w:hAnsi="Times New Roman" w:cs="Times New Roman"/>
          <w:bCs/>
          <w:sz w:val="24"/>
          <w:szCs w:val="24"/>
        </w:rPr>
        <w:t>н.р</w:t>
      </w:r>
      <w:proofErr w:type="spellEnd"/>
      <w:r w:rsidR="00B62FF1" w:rsidRPr="00B62FF1">
        <w:rPr>
          <w:rFonts w:ascii="Times New Roman" w:hAnsi="Times New Roman" w:cs="Times New Roman"/>
          <w:bCs/>
          <w:sz w:val="24"/>
          <w:szCs w:val="24"/>
        </w:rPr>
        <w:t>.</w:t>
      </w:r>
      <w:r w:rsidR="00B62FF1" w:rsidRPr="00B62FF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B62FF1" w:rsidRPr="00B62FF1">
        <w:rPr>
          <w:rFonts w:ascii="Times New Roman" w:hAnsi="Times New Roman" w:cs="Times New Roman"/>
          <w:bCs/>
          <w:sz w:val="24"/>
          <w:szCs w:val="24"/>
        </w:rPr>
        <w:t>проводився</w:t>
      </w:r>
      <w:proofErr w:type="spellEnd"/>
      <w:r w:rsidR="00B62FF1" w:rsidRPr="00B62F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62FF1" w:rsidRPr="00B62FF1">
        <w:rPr>
          <w:rFonts w:ascii="Times New Roman" w:hAnsi="Times New Roman" w:cs="Times New Roman"/>
          <w:bCs/>
          <w:sz w:val="24"/>
          <w:szCs w:val="24"/>
        </w:rPr>
        <w:t>моніторинг</w:t>
      </w:r>
      <w:proofErr w:type="spellEnd"/>
      <w:r w:rsidR="00B62FF1" w:rsidRPr="00B62F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62FF1" w:rsidRPr="00B62FF1">
        <w:rPr>
          <w:rFonts w:ascii="Times New Roman" w:hAnsi="Times New Roman" w:cs="Times New Roman"/>
          <w:bCs/>
          <w:sz w:val="24"/>
          <w:szCs w:val="24"/>
        </w:rPr>
        <w:t>рівня</w:t>
      </w:r>
      <w:proofErr w:type="spellEnd"/>
      <w:r w:rsidR="00B62FF1" w:rsidRPr="00B62F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62FF1" w:rsidRPr="00B62FF1">
        <w:rPr>
          <w:rFonts w:ascii="Times New Roman" w:hAnsi="Times New Roman" w:cs="Times New Roman"/>
          <w:bCs/>
          <w:sz w:val="24"/>
          <w:szCs w:val="24"/>
        </w:rPr>
        <w:t>досягнень</w:t>
      </w:r>
      <w:proofErr w:type="spellEnd"/>
      <w:r w:rsidR="00B62FF1" w:rsidRPr="00B62F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62FF1" w:rsidRPr="00B62FF1">
        <w:rPr>
          <w:rFonts w:ascii="Times New Roman" w:hAnsi="Times New Roman" w:cs="Times New Roman"/>
          <w:bCs/>
          <w:sz w:val="24"/>
          <w:szCs w:val="24"/>
        </w:rPr>
        <w:t>дітей</w:t>
      </w:r>
      <w:proofErr w:type="spellEnd"/>
      <w:r w:rsidR="00B62FF1" w:rsidRPr="00B62F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62FF1" w:rsidRPr="00B62FF1">
        <w:rPr>
          <w:rFonts w:ascii="Times New Roman" w:hAnsi="Times New Roman" w:cs="Times New Roman"/>
          <w:bCs/>
          <w:sz w:val="24"/>
          <w:szCs w:val="24"/>
        </w:rPr>
        <w:t>дошкільного</w:t>
      </w:r>
      <w:proofErr w:type="spellEnd"/>
      <w:r w:rsidR="00B62FF1" w:rsidRPr="00B62F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62FF1" w:rsidRPr="00B62FF1">
        <w:rPr>
          <w:rFonts w:ascii="Times New Roman" w:hAnsi="Times New Roman" w:cs="Times New Roman"/>
          <w:bCs/>
          <w:sz w:val="24"/>
          <w:szCs w:val="24"/>
        </w:rPr>
        <w:t>віку</w:t>
      </w:r>
      <w:proofErr w:type="spellEnd"/>
      <w:r w:rsidR="00B62FF1" w:rsidRPr="00B62FF1">
        <w:rPr>
          <w:rFonts w:ascii="Times New Roman" w:hAnsi="Times New Roman" w:cs="Times New Roman"/>
          <w:bCs/>
          <w:sz w:val="24"/>
          <w:szCs w:val="24"/>
        </w:rPr>
        <w:t>.</w:t>
      </w:r>
      <w:r w:rsidR="00B62FF1" w:rsidRPr="00B62FF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365FAF">
        <w:rPr>
          <w:rFonts w:ascii="Times New Roman" w:hAnsi="Times New Roman" w:cs="Times New Roman"/>
          <w:bCs/>
          <w:sz w:val="24"/>
          <w:szCs w:val="24"/>
          <w:lang w:val="uk-UA"/>
        </w:rPr>
        <w:t>Моніторинг показників компетенції дітей за Базовим компонентом дошкільної освіти</w:t>
      </w:r>
      <w:r w:rsidRPr="00CD523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C3794C">
        <w:rPr>
          <w:rFonts w:ascii="Times New Roman" w:hAnsi="Times New Roman" w:cs="Times New Roman"/>
          <w:bCs/>
          <w:sz w:val="24"/>
          <w:szCs w:val="24"/>
          <w:lang w:val="uk-UA"/>
        </w:rPr>
        <w:t>в зв'язку з воєнним станом</w:t>
      </w:r>
      <w:r w:rsidR="00C1706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 Україні, було проведено</w:t>
      </w:r>
      <w:r w:rsidRPr="00365FA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 дистанційному форматі </w:t>
      </w:r>
      <w:r w:rsidRPr="00365FA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у </w:t>
      </w:r>
      <w:r w:rsidR="00C3794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травні 2023 </w:t>
      </w:r>
      <w:r w:rsidR="00C1706B">
        <w:rPr>
          <w:rFonts w:ascii="Times New Roman" w:hAnsi="Times New Roman" w:cs="Times New Roman"/>
          <w:bCs/>
          <w:sz w:val="24"/>
          <w:szCs w:val="24"/>
          <w:lang w:val="uk-UA"/>
        </w:rPr>
        <w:t>року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B62FF1" w:rsidRPr="00B62FF1">
        <w:rPr>
          <w:color w:val="707070"/>
          <w:shd w:val="clear" w:color="auto" w:fill="FFFFFF"/>
          <w:lang w:val="uk-UA"/>
        </w:rPr>
        <w:t xml:space="preserve"> </w:t>
      </w:r>
      <w:r w:rsidR="00B62FF1" w:rsidRPr="00B62FF1">
        <w:rPr>
          <w:rFonts w:ascii="Times New Roman" w:hAnsi="Times New Roman" w:cs="Times New Roman"/>
          <w:bCs/>
          <w:sz w:val="24"/>
          <w:szCs w:val="24"/>
          <w:lang w:val="uk-UA"/>
        </w:rPr>
        <w:t>Особливостями проведення обстеження у поточному навчально</w:t>
      </w:r>
      <w:r w:rsidR="00C1706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му році є врахування того, що </w:t>
      </w:r>
      <w:r w:rsidR="00B62FF1" w:rsidRPr="00B62FF1">
        <w:rPr>
          <w:rFonts w:ascii="Times New Roman" w:hAnsi="Times New Roman" w:cs="Times New Roman"/>
          <w:bCs/>
          <w:sz w:val="24"/>
          <w:szCs w:val="24"/>
          <w:lang w:val="uk-UA"/>
        </w:rPr>
        <w:t>майже в усіх вікових групах спостерігалось зменше</w:t>
      </w:r>
      <w:r w:rsidR="00C1706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ння кількості </w:t>
      </w:r>
      <w:r w:rsidR="00C3794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діагностованих </w:t>
      </w:r>
      <w:r w:rsidR="00C1706B">
        <w:rPr>
          <w:rFonts w:ascii="Times New Roman" w:hAnsi="Times New Roman" w:cs="Times New Roman"/>
          <w:bCs/>
          <w:sz w:val="24"/>
          <w:szCs w:val="24"/>
          <w:lang w:val="uk-UA"/>
        </w:rPr>
        <w:t>дітей</w:t>
      </w:r>
      <w:r w:rsidR="00B62FF1" w:rsidRPr="00B62FF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  <w:r w:rsidR="00CD5236">
        <w:rPr>
          <w:rFonts w:ascii="Times New Roman" w:hAnsi="Times New Roman" w:cs="Times New Roman"/>
          <w:bCs/>
          <w:sz w:val="24"/>
          <w:szCs w:val="24"/>
          <w:lang w:val="uk-UA"/>
        </w:rPr>
        <w:t>Важливим фактором якісного проведення</w:t>
      </w:r>
      <w:r w:rsidR="00CD5236" w:rsidRPr="00CD523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обстеження </w:t>
      </w:r>
      <w:r w:rsidR="00C1706B">
        <w:rPr>
          <w:rFonts w:ascii="Times New Roman" w:hAnsi="Times New Roman" w:cs="Times New Roman"/>
          <w:bCs/>
          <w:sz w:val="24"/>
          <w:szCs w:val="24"/>
          <w:lang w:val="uk-UA"/>
        </w:rPr>
        <w:t>була</w:t>
      </w:r>
      <w:r w:rsidR="00CD523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тісна </w:t>
      </w:r>
      <w:r w:rsidR="00CD5236" w:rsidRPr="00CD5236">
        <w:rPr>
          <w:rFonts w:ascii="Times New Roman" w:hAnsi="Times New Roman" w:cs="Times New Roman"/>
          <w:bCs/>
          <w:sz w:val="24"/>
          <w:szCs w:val="24"/>
          <w:lang w:val="uk-UA"/>
        </w:rPr>
        <w:t>співпраця з батьками</w:t>
      </w:r>
      <w:r w:rsidR="00C1706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вихованців</w:t>
      </w:r>
      <w:r w:rsidR="00CD5236" w:rsidRPr="00CD5236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9F498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А</w:t>
      </w:r>
      <w:r w:rsidR="00CD5236">
        <w:rPr>
          <w:rFonts w:ascii="Times New Roman" w:hAnsi="Times New Roman" w:cs="Times New Roman"/>
          <w:bCs/>
          <w:sz w:val="24"/>
          <w:szCs w:val="24"/>
          <w:lang w:val="uk-UA"/>
        </w:rPr>
        <w:t>ктивність батьків у порівн</w:t>
      </w:r>
      <w:r w:rsidR="00C3794C">
        <w:rPr>
          <w:rFonts w:ascii="Times New Roman" w:hAnsi="Times New Roman" w:cs="Times New Roman"/>
          <w:bCs/>
          <w:sz w:val="24"/>
          <w:szCs w:val="24"/>
          <w:lang w:val="uk-UA"/>
        </w:rPr>
        <w:t>янні з показниками І півріччя</w:t>
      </w:r>
      <w:r w:rsidR="009F498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зросла</w:t>
      </w:r>
      <w:r w:rsidR="00CD523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 </w:t>
      </w:r>
      <w:r w:rsidR="009F498E" w:rsidRPr="009F498E">
        <w:rPr>
          <w:rFonts w:ascii="Times New Roman" w:hAnsi="Times New Roman" w:cs="Times New Roman"/>
          <w:bCs/>
          <w:sz w:val="24"/>
          <w:szCs w:val="24"/>
          <w:lang w:val="uk-UA"/>
        </w:rPr>
        <w:t>8</w:t>
      </w:r>
      <w:r w:rsidR="00CD5236" w:rsidRPr="009F498E">
        <w:rPr>
          <w:rFonts w:ascii="Times New Roman" w:hAnsi="Times New Roman" w:cs="Times New Roman"/>
          <w:bCs/>
          <w:sz w:val="24"/>
          <w:szCs w:val="24"/>
          <w:lang w:val="uk-UA"/>
        </w:rPr>
        <w:t>%</w:t>
      </w:r>
      <w:r w:rsidR="00C3794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у травн</w:t>
      </w:r>
      <w:r w:rsidR="00CD5236">
        <w:rPr>
          <w:rFonts w:ascii="Times New Roman" w:hAnsi="Times New Roman" w:cs="Times New Roman"/>
          <w:bCs/>
          <w:sz w:val="24"/>
          <w:szCs w:val="24"/>
          <w:lang w:val="uk-UA"/>
        </w:rPr>
        <w:t>і.</w:t>
      </w:r>
    </w:p>
    <w:p w:rsidR="00B62FF1" w:rsidRDefault="00365FAF" w:rsidP="006808E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365FA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Згідно результатів проведеного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моніторингу</w:t>
      </w:r>
      <w:r w:rsidRPr="00365FA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можна зробити висновки, що</w:t>
      </w:r>
      <w:r w:rsidR="00B62FF1" w:rsidRPr="00B62FF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62FF1" w:rsidRPr="00B62FF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вимоги </w:t>
      </w:r>
      <w:r w:rsidR="00B62FF1">
        <w:rPr>
          <w:rFonts w:ascii="Times New Roman" w:hAnsi="Times New Roman" w:cs="Times New Roman"/>
          <w:bCs/>
          <w:sz w:val="24"/>
          <w:szCs w:val="24"/>
          <w:lang w:val="uk-UA"/>
        </w:rPr>
        <w:t>Базового компоненту та освітні</w:t>
      </w:r>
      <w:r w:rsidR="00B62FF1" w:rsidRPr="00B62FF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х </w:t>
      </w:r>
      <w:r w:rsidR="00B62FF1">
        <w:rPr>
          <w:rFonts w:ascii="Times New Roman" w:hAnsi="Times New Roman" w:cs="Times New Roman"/>
          <w:bCs/>
          <w:sz w:val="24"/>
          <w:szCs w:val="24"/>
          <w:lang w:val="uk-UA"/>
        </w:rPr>
        <w:t>програм «Дитина» та «Впевнений старт»</w:t>
      </w:r>
      <w:r w:rsidR="00C1706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B62FF1">
        <w:rPr>
          <w:rFonts w:ascii="Times New Roman" w:hAnsi="Times New Roman" w:cs="Times New Roman"/>
          <w:bCs/>
          <w:sz w:val="24"/>
          <w:szCs w:val="24"/>
          <w:lang w:val="uk-UA"/>
        </w:rPr>
        <w:t>виконуються в повному обсязі</w:t>
      </w:r>
      <w:r w:rsidR="00B62FF1" w:rsidRPr="00B62FF1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C40CE7" w:rsidRPr="00C1706B" w:rsidRDefault="00C1706B" w:rsidP="006808E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C1706B">
        <w:rPr>
          <w:rFonts w:ascii="Times New Roman" w:hAnsi="Times New Roman" w:cs="Times New Roman"/>
          <w:bCs/>
          <w:sz w:val="24"/>
          <w:szCs w:val="24"/>
          <w:lang w:val="uk-UA"/>
        </w:rPr>
        <w:t>Вимірювання рівня засвоєння вихованцями груп інваріантної частини змісту дошкільної освіти здійснювало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ся за допомоги рівнів розвитку:</w:t>
      </w:r>
    </w:p>
    <w:p w:rsidR="00C1706B" w:rsidRPr="00C1706B" w:rsidRDefault="00C1706B" w:rsidP="006808E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- </w:t>
      </w:r>
      <w:r w:rsidRPr="00C1706B">
        <w:rPr>
          <w:rFonts w:ascii="Times New Roman" w:hAnsi="Times New Roman" w:cs="Times New Roman"/>
          <w:bCs/>
          <w:sz w:val="24"/>
          <w:szCs w:val="24"/>
          <w:lang w:val="uk-UA"/>
        </w:rPr>
        <w:t>високий рівень В: дитина виявляє інтерес до пізнавальної діяльності, виявляє активність, ініціативність, самостійність;</w:t>
      </w:r>
    </w:p>
    <w:p w:rsidR="00C1706B" w:rsidRPr="00C1706B" w:rsidRDefault="00C1706B" w:rsidP="006808E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- </w:t>
      </w:r>
      <w:r w:rsidRPr="00C1706B">
        <w:rPr>
          <w:rFonts w:ascii="Times New Roman" w:hAnsi="Times New Roman" w:cs="Times New Roman"/>
          <w:bCs/>
          <w:sz w:val="24"/>
          <w:szCs w:val="24"/>
          <w:lang w:val="uk-UA"/>
        </w:rPr>
        <w:t>достатній рівень Д: дитина самостійно вирішує запропоноване проблемне завдання своєї вікової групи;</w:t>
      </w:r>
    </w:p>
    <w:p w:rsidR="00C1706B" w:rsidRPr="00C1706B" w:rsidRDefault="00C1706B" w:rsidP="006808E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- </w:t>
      </w:r>
      <w:r w:rsidRPr="00C1706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середній рівень С: дитина розуміє запитання та з незначною допомогою (за навідними питаннями) знаходить відповідь або рішення;  </w:t>
      </w:r>
    </w:p>
    <w:p w:rsidR="00C1706B" w:rsidRPr="00C1706B" w:rsidRDefault="00C1706B" w:rsidP="006808E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- низький рівень Н</w:t>
      </w:r>
      <w:r w:rsidRPr="00C1706B">
        <w:rPr>
          <w:rFonts w:ascii="Times New Roman" w:hAnsi="Times New Roman" w:cs="Times New Roman"/>
          <w:bCs/>
          <w:sz w:val="24"/>
          <w:szCs w:val="24"/>
          <w:lang w:val="uk-UA"/>
        </w:rPr>
        <w:t>: дитина розуміє, але не може самостійно дати відповідь на запитання і відповідає зі значною допомогою вихователя або ж потребує постійної (значної) допомоги дорослого.</w:t>
      </w:r>
    </w:p>
    <w:p w:rsidR="00C1706B" w:rsidRPr="00C1706B" w:rsidRDefault="00C1706B" w:rsidP="006808E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C1706B">
        <w:rPr>
          <w:rFonts w:ascii="Times New Roman" w:hAnsi="Times New Roman" w:cs="Times New Roman"/>
          <w:bCs/>
          <w:sz w:val="24"/>
          <w:szCs w:val="24"/>
          <w:lang w:val="uk-UA"/>
        </w:rPr>
        <w:t>Вихідний рівень засвоєння вихованцями знань, умінь і навичок досліджував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ся за наступними освітніми напрямка</w:t>
      </w:r>
      <w:r w:rsidRPr="00C1706B">
        <w:rPr>
          <w:rFonts w:ascii="Times New Roman" w:hAnsi="Times New Roman" w:cs="Times New Roman"/>
          <w:bCs/>
          <w:sz w:val="24"/>
          <w:szCs w:val="24"/>
          <w:lang w:val="uk-UA"/>
        </w:rPr>
        <w:t>ми Базового комп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оненту дошкільної освіти:</w:t>
      </w:r>
    </w:p>
    <w:p w:rsidR="00C1706B" w:rsidRPr="00C1706B" w:rsidRDefault="00C1706B" w:rsidP="00C40CE7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1706B">
        <w:rPr>
          <w:rFonts w:ascii="Times New Roman" w:hAnsi="Times New Roman" w:cs="Times New Roman"/>
          <w:bCs/>
          <w:sz w:val="24"/>
          <w:szCs w:val="24"/>
          <w:lang w:val="uk-UA"/>
        </w:rPr>
        <w:t>«Особистість дитини»;</w:t>
      </w:r>
    </w:p>
    <w:p w:rsidR="00C1706B" w:rsidRPr="00C1706B" w:rsidRDefault="00C1706B" w:rsidP="00C40CE7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1706B">
        <w:rPr>
          <w:rFonts w:ascii="Times New Roman" w:hAnsi="Times New Roman" w:cs="Times New Roman"/>
          <w:bCs/>
          <w:sz w:val="24"/>
          <w:szCs w:val="24"/>
          <w:lang w:val="uk-UA"/>
        </w:rPr>
        <w:t>«Дитина у природному довкіллі»;</w:t>
      </w:r>
    </w:p>
    <w:p w:rsidR="00C1706B" w:rsidRPr="00C1706B" w:rsidRDefault="00C1706B" w:rsidP="00C40CE7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1706B">
        <w:rPr>
          <w:rFonts w:ascii="Times New Roman" w:hAnsi="Times New Roman" w:cs="Times New Roman"/>
          <w:bCs/>
          <w:sz w:val="24"/>
          <w:szCs w:val="24"/>
          <w:lang w:val="uk-UA"/>
        </w:rPr>
        <w:t>«Дитина в соціумі»;</w:t>
      </w:r>
    </w:p>
    <w:p w:rsidR="00C1706B" w:rsidRPr="00C1706B" w:rsidRDefault="00C1706B" w:rsidP="00C40CE7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1706B">
        <w:rPr>
          <w:rFonts w:ascii="Times New Roman" w:hAnsi="Times New Roman" w:cs="Times New Roman"/>
          <w:bCs/>
          <w:sz w:val="24"/>
          <w:szCs w:val="24"/>
          <w:lang w:val="uk-UA"/>
        </w:rPr>
        <w:t>«Дитина у світі мистецтва»;</w:t>
      </w:r>
    </w:p>
    <w:p w:rsidR="00C1706B" w:rsidRPr="00C1706B" w:rsidRDefault="00C1706B" w:rsidP="00C40CE7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1706B">
        <w:rPr>
          <w:rFonts w:ascii="Times New Roman" w:hAnsi="Times New Roman" w:cs="Times New Roman"/>
          <w:bCs/>
          <w:sz w:val="24"/>
          <w:szCs w:val="24"/>
          <w:lang w:val="uk-UA"/>
        </w:rPr>
        <w:t>«Дитина</w:t>
      </w:r>
      <w:r w:rsidR="0081131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 сенсорно-пізнавальному світі</w:t>
      </w:r>
      <w:r w:rsidRPr="00C1706B">
        <w:rPr>
          <w:rFonts w:ascii="Times New Roman" w:hAnsi="Times New Roman" w:cs="Times New Roman"/>
          <w:bCs/>
          <w:sz w:val="24"/>
          <w:szCs w:val="24"/>
          <w:lang w:val="uk-UA"/>
        </w:rPr>
        <w:t>»;</w:t>
      </w:r>
    </w:p>
    <w:p w:rsidR="00C1706B" w:rsidRPr="00C1706B" w:rsidRDefault="00C1706B" w:rsidP="00C40CE7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1706B">
        <w:rPr>
          <w:rFonts w:ascii="Times New Roman" w:hAnsi="Times New Roman" w:cs="Times New Roman"/>
          <w:bCs/>
          <w:sz w:val="24"/>
          <w:szCs w:val="24"/>
          <w:lang w:val="uk-UA"/>
        </w:rPr>
        <w:t>«Мовлення дитини»;</w:t>
      </w:r>
    </w:p>
    <w:p w:rsidR="00C1706B" w:rsidRPr="00B62FF1" w:rsidRDefault="00C1706B" w:rsidP="00C40CE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1706B">
        <w:rPr>
          <w:rFonts w:ascii="Times New Roman" w:hAnsi="Times New Roman" w:cs="Times New Roman"/>
          <w:bCs/>
          <w:sz w:val="24"/>
          <w:szCs w:val="24"/>
          <w:lang w:val="uk-UA"/>
        </w:rPr>
        <w:t>«Гра дитини».</w:t>
      </w:r>
    </w:p>
    <w:p w:rsidR="00C3794C" w:rsidRDefault="00C3794C" w:rsidP="00C40CE7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808E8" w:rsidRDefault="006808E8" w:rsidP="00C40CE7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40CE7" w:rsidRPr="00C40CE7" w:rsidRDefault="00C3794C" w:rsidP="00C40CE7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Зведена таблиця (трав</w:t>
      </w:r>
      <w:r w:rsidR="00C40CE7" w:rsidRPr="00C40CE7">
        <w:rPr>
          <w:rFonts w:ascii="Times New Roman" w:hAnsi="Times New Roman" w:cs="Times New Roman"/>
          <w:sz w:val="24"/>
          <w:szCs w:val="24"/>
          <w:lang w:val="uk-UA"/>
        </w:rPr>
        <w:t>ень 2023 року)</w:t>
      </w:r>
    </w:p>
    <w:p w:rsidR="00C40CE7" w:rsidRPr="00C40CE7" w:rsidRDefault="00C40CE7" w:rsidP="00C40CE7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40CE7">
        <w:rPr>
          <w:rFonts w:ascii="Times New Roman" w:hAnsi="Times New Roman" w:cs="Times New Roman"/>
          <w:sz w:val="24"/>
          <w:szCs w:val="24"/>
          <w:lang w:val="uk-UA"/>
        </w:rPr>
        <w:t xml:space="preserve">визначення рівня досягнень дітей </w:t>
      </w:r>
    </w:p>
    <w:p w:rsidR="00C40CE7" w:rsidRPr="00C40CE7" w:rsidRDefault="00C40CE7" w:rsidP="00C40CE7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40CE7">
        <w:rPr>
          <w:rFonts w:ascii="Times New Roman" w:hAnsi="Times New Roman" w:cs="Times New Roman"/>
          <w:sz w:val="24"/>
          <w:szCs w:val="24"/>
          <w:lang w:val="uk-UA"/>
        </w:rPr>
        <w:t>за освітніми напрямами базового компонента</w:t>
      </w:r>
    </w:p>
    <w:p w:rsidR="00C40CE7" w:rsidRPr="00C40CE7" w:rsidRDefault="00C40CE7" w:rsidP="00C40CE7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608" w:type="dxa"/>
        <w:tblInd w:w="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842"/>
        <w:gridCol w:w="1418"/>
        <w:gridCol w:w="1417"/>
        <w:gridCol w:w="1276"/>
        <w:gridCol w:w="1103"/>
      </w:tblGrid>
      <w:tr w:rsidR="00824DE9" w:rsidRPr="00C40CE7" w:rsidTr="00C40CE7">
        <w:trPr>
          <w:trHeight w:val="396"/>
        </w:trPr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24DE9" w:rsidRPr="00C40CE7" w:rsidRDefault="00824DE9" w:rsidP="00C40C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0CE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Вік дітей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24DE9" w:rsidRPr="00C40CE7" w:rsidRDefault="00824DE9" w:rsidP="00C40C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0CE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Назва групи</w:t>
            </w:r>
          </w:p>
        </w:tc>
        <w:tc>
          <w:tcPr>
            <w:tcW w:w="5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24DE9" w:rsidRPr="00C40CE7" w:rsidRDefault="00C3794C" w:rsidP="00C40C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Трав</w:t>
            </w:r>
            <w:r w:rsidR="00824DE9" w:rsidRPr="00C40CE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ень 2023</w:t>
            </w:r>
          </w:p>
        </w:tc>
      </w:tr>
      <w:tr w:rsidR="00824DE9" w:rsidRPr="00C40CE7" w:rsidTr="00C40CE7">
        <w:trPr>
          <w:trHeight w:val="261"/>
        </w:trPr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4DE9" w:rsidRPr="00C40CE7" w:rsidRDefault="00824DE9" w:rsidP="00C40C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4DE9" w:rsidRPr="00C40CE7" w:rsidRDefault="00824DE9" w:rsidP="00C40C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24DE9" w:rsidRPr="00C40CE7" w:rsidRDefault="00824DE9" w:rsidP="00C40C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0CE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24DE9" w:rsidRPr="00C40CE7" w:rsidRDefault="00824DE9" w:rsidP="00C40C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0CE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24DE9" w:rsidRPr="00C40CE7" w:rsidRDefault="00824DE9" w:rsidP="00C40C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0CE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с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24DE9" w:rsidRPr="00C40CE7" w:rsidRDefault="00824DE9" w:rsidP="00C40C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0CE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н</w:t>
            </w:r>
          </w:p>
        </w:tc>
      </w:tr>
      <w:tr w:rsidR="00824DE9" w:rsidRPr="00C40CE7" w:rsidTr="00C40CE7">
        <w:trPr>
          <w:trHeight w:val="299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</w:tcPr>
          <w:p w:rsidR="00824DE9" w:rsidRPr="00C40CE7" w:rsidRDefault="00824DE9" w:rsidP="00C40C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40C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Група раннього віку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</w:tcPr>
          <w:p w:rsidR="00824DE9" w:rsidRPr="00C40CE7" w:rsidRDefault="00824DE9" w:rsidP="00C40C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40C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C40C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Цьомчики</w:t>
            </w:r>
            <w:proofErr w:type="spellEnd"/>
            <w:r w:rsidRPr="00C40C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</w:tcPr>
          <w:p w:rsidR="00824DE9" w:rsidRPr="00C40CE7" w:rsidRDefault="00824DE9" w:rsidP="00C40C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40C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0/0%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</w:tcPr>
          <w:p w:rsidR="00824DE9" w:rsidRPr="00C40CE7" w:rsidRDefault="00C3794C" w:rsidP="00C40C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  <w:r w:rsidR="00023572" w:rsidRPr="00C40C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/10</w:t>
            </w:r>
            <w:r w:rsidR="00824DE9" w:rsidRPr="00C40C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0%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</w:tcPr>
          <w:p w:rsidR="00824DE9" w:rsidRPr="00C40CE7" w:rsidRDefault="00824DE9" w:rsidP="00C40C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40C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0/0%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</w:tcPr>
          <w:p w:rsidR="00824DE9" w:rsidRPr="00C40CE7" w:rsidRDefault="00824DE9" w:rsidP="00C40C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40C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0/0%</w:t>
            </w:r>
          </w:p>
        </w:tc>
      </w:tr>
      <w:tr w:rsidR="00824DE9" w:rsidRPr="00C40CE7" w:rsidTr="00C40CE7">
        <w:trPr>
          <w:trHeight w:val="246"/>
        </w:trPr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24DE9" w:rsidRPr="00C40CE7" w:rsidRDefault="00824DE9" w:rsidP="00C40C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Групи молодшого дошкільного віку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24DE9" w:rsidRPr="00C40CE7" w:rsidRDefault="00824DE9" w:rsidP="00C40C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«Калинка»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24DE9" w:rsidRPr="00C40CE7" w:rsidRDefault="00824DE9" w:rsidP="00C40C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0/0%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24DE9" w:rsidRPr="00C40CE7" w:rsidRDefault="00FC06E3" w:rsidP="00C40C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7/7</w:t>
            </w:r>
            <w:r w:rsidR="00824DE9" w:rsidRPr="00C40C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0%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24DE9" w:rsidRPr="00C40CE7" w:rsidRDefault="00FC06E3" w:rsidP="00C40C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3/3</w:t>
            </w:r>
            <w:r w:rsidR="00824DE9" w:rsidRPr="00C40C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0% 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24DE9" w:rsidRPr="00C40CE7" w:rsidRDefault="00824DE9" w:rsidP="00C40C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0/0% </w:t>
            </w:r>
          </w:p>
        </w:tc>
      </w:tr>
      <w:tr w:rsidR="00824DE9" w:rsidRPr="00C40CE7" w:rsidTr="00C40CE7">
        <w:trPr>
          <w:trHeight w:val="181"/>
        </w:trPr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4DE9" w:rsidRPr="00C40CE7" w:rsidRDefault="00824DE9" w:rsidP="00C40C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24DE9" w:rsidRPr="00C40CE7" w:rsidRDefault="00824DE9" w:rsidP="00C40C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«Зірочка»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24DE9" w:rsidRPr="00C40CE7" w:rsidRDefault="00FC06E3" w:rsidP="00C40C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7/44</w:t>
            </w:r>
            <w:r w:rsidR="00824DE9" w:rsidRPr="00C40C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%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24DE9" w:rsidRPr="00C40CE7" w:rsidRDefault="00824DE9" w:rsidP="00C40C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7/44%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24DE9" w:rsidRPr="00C40CE7" w:rsidRDefault="00FC06E3" w:rsidP="00C40C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2/12</w:t>
            </w:r>
            <w:r w:rsidR="00824DE9" w:rsidRPr="00C40C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24DE9" w:rsidRPr="00C40CE7" w:rsidRDefault="00824DE9" w:rsidP="00C40C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0/0% </w:t>
            </w:r>
          </w:p>
        </w:tc>
      </w:tr>
      <w:tr w:rsidR="00824DE9" w:rsidRPr="00C40CE7" w:rsidTr="00C40CE7">
        <w:trPr>
          <w:trHeight w:val="257"/>
        </w:trPr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24DE9" w:rsidRPr="00C40CE7" w:rsidRDefault="00824DE9" w:rsidP="00C40C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Групи середнього дошкільного віку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24DE9" w:rsidRPr="00C40CE7" w:rsidRDefault="00824DE9" w:rsidP="00C40C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«Перлинка»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24DE9" w:rsidRPr="00C40CE7" w:rsidRDefault="00FC06E3" w:rsidP="00C40C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3/21</w:t>
            </w:r>
            <w:r w:rsidR="00824DE9" w:rsidRPr="00C40C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%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24DE9" w:rsidRPr="00C40CE7" w:rsidRDefault="00FC06E3" w:rsidP="00C40C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5/36</w:t>
            </w:r>
            <w:r w:rsidR="00824DE9" w:rsidRPr="00C40C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24DE9" w:rsidRPr="00C40CE7" w:rsidRDefault="00FC06E3" w:rsidP="00C40C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6/43</w:t>
            </w:r>
            <w:r w:rsidR="00824DE9" w:rsidRPr="00C40C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% 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24DE9" w:rsidRPr="00C40CE7" w:rsidRDefault="00824DE9" w:rsidP="00C40C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0/0% </w:t>
            </w:r>
          </w:p>
        </w:tc>
      </w:tr>
      <w:tr w:rsidR="00824DE9" w:rsidRPr="00C40CE7" w:rsidTr="00C40CE7">
        <w:trPr>
          <w:trHeight w:val="346"/>
        </w:trPr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4DE9" w:rsidRPr="00C40CE7" w:rsidRDefault="00824DE9" w:rsidP="00C40C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24DE9" w:rsidRPr="00C40CE7" w:rsidRDefault="00824DE9" w:rsidP="00C40C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«Веселка»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24DE9" w:rsidRPr="00C40CE7" w:rsidRDefault="00FC06E3" w:rsidP="00C40C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2</w:t>
            </w:r>
            <w:r w:rsidR="00824DE9" w:rsidRPr="00C40C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  <w:r w:rsidR="00824DE9" w:rsidRPr="00C40C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0%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24DE9" w:rsidRPr="00C40CE7" w:rsidRDefault="00FC06E3" w:rsidP="00C40C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7/7</w:t>
            </w:r>
            <w:r w:rsidR="00824DE9" w:rsidRPr="00C40C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0%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24DE9" w:rsidRPr="00C40CE7" w:rsidRDefault="00FC06E3" w:rsidP="00C40C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  <w:r w:rsidR="00824DE9" w:rsidRPr="00C40C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/10% 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24DE9" w:rsidRPr="00C40CE7" w:rsidRDefault="00824DE9" w:rsidP="00C40C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0/0%</w:t>
            </w:r>
          </w:p>
        </w:tc>
      </w:tr>
      <w:tr w:rsidR="00824DE9" w:rsidRPr="00C40CE7" w:rsidTr="00C40CE7">
        <w:trPr>
          <w:trHeight w:val="267"/>
        </w:trPr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24DE9" w:rsidRPr="00C40CE7" w:rsidRDefault="00824DE9" w:rsidP="00C40C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Групи старшого дошкільного віку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24DE9" w:rsidRPr="00C40CE7" w:rsidRDefault="00824DE9" w:rsidP="00C40C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«Сонечко»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24DE9" w:rsidRPr="00C40CE7" w:rsidRDefault="00FC06E3" w:rsidP="00C40C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6/35</w:t>
            </w:r>
            <w:r w:rsidR="00824DE9" w:rsidRPr="00C40C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24DE9" w:rsidRPr="00C40CE7" w:rsidRDefault="00FC06E3" w:rsidP="00C40C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9/53</w:t>
            </w:r>
            <w:r w:rsidR="00824DE9" w:rsidRPr="00C40C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%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24DE9" w:rsidRPr="00C40CE7" w:rsidRDefault="00824DE9" w:rsidP="00C40C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2/12% 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24DE9" w:rsidRPr="00C40CE7" w:rsidRDefault="00824DE9" w:rsidP="00C40C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0/0% </w:t>
            </w:r>
          </w:p>
        </w:tc>
      </w:tr>
      <w:tr w:rsidR="00824DE9" w:rsidRPr="00C40CE7" w:rsidTr="00C40CE7">
        <w:trPr>
          <w:trHeight w:val="186"/>
        </w:trPr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4DE9" w:rsidRPr="00C40CE7" w:rsidRDefault="00824DE9" w:rsidP="00C40C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24DE9" w:rsidRPr="00C40CE7" w:rsidRDefault="00824DE9" w:rsidP="00C40C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«Промінці»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24DE9" w:rsidRPr="00C40CE7" w:rsidRDefault="00FC06E3" w:rsidP="00C40C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4/31</w:t>
            </w:r>
            <w:r w:rsidR="00824DE9" w:rsidRPr="00C40C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24DE9" w:rsidRPr="00C40CE7" w:rsidRDefault="00FC06E3" w:rsidP="00C40C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5/38</w:t>
            </w:r>
            <w:r w:rsidR="00824DE9" w:rsidRPr="00C40C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%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24DE9" w:rsidRPr="00C40CE7" w:rsidRDefault="00FC06E3" w:rsidP="00C40C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4/31</w:t>
            </w:r>
            <w:r w:rsidR="00824DE9" w:rsidRPr="00C40C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% 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15" w:type="dxa"/>
              <w:bottom w:w="0" w:type="dxa"/>
              <w:right w:w="57" w:type="dxa"/>
            </w:tcMar>
            <w:hideMark/>
          </w:tcPr>
          <w:p w:rsidR="00824DE9" w:rsidRPr="00C40CE7" w:rsidRDefault="00824DE9" w:rsidP="00C40CE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0/0% </w:t>
            </w:r>
          </w:p>
        </w:tc>
      </w:tr>
    </w:tbl>
    <w:p w:rsidR="00824DE9" w:rsidRPr="00C40CE7" w:rsidRDefault="00824DE9" w:rsidP="00824DE9">
      <w:pPr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:rsidR="00824DE9" w:rsidRPr="00C40CE7" w:rsidRDefault="00824DE9" w:rsidP="00C40CE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40CE7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Згідно результатів проведеного моніторингу (</w:t>
      </w:r>
      <w:r w:rsidR="005307A4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86 дітей</w:t>
      </w:r>
      <w:r w:rsidRPr="00C40CE7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):</w:t>
      </w:r>
    </w:p>
    <w:p w:rsidR="00824DE9" w:rsidRPr="00C40CE7" w:rsidRDefault="00824DE9" w:rsidP="00C40CE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40CE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Високий рівень – </w:t>
      </w:r>
      <w:r w:rsidR="005307A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22 дитини/26% </w:t>
      </w:r>
    </w:p>
    <w:p w:rsidR="00824DE9" w:rsidRPr="00C40CE7" w:rsidRDefault="00824DE9" w:rsidP="00C40CE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40CE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Достатній рівень – </w:t>
      </w:r>
      <w:r w:rsidR="005307A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46 дітей/53% </w:t>
      </w:r>
    </w:p>
    <w:p w:rsidR="00824DE9" w:rsidRPr="00C40CE7" w:rsidRDefault="00824DE9" w:rsidP="00C40CE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40CE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Середній рівень – </w:t>
      </w:r>
      <w:r w:rsidR="005307A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18 дітей/21% </w:t>
      </w:r>
    </w:p>
    <w:p w:rsidR="00824DE9" w:rsidRDefault="00824DE9" w:rsidP="006808E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40CE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Низький рівень – 0/0%</w:t>
      </w:r>
    </w:p>
    <w:p w:rsidR="006808E8" w:rsidRPr="006808E8" w:rsidRDefault="006808E8" w:rsidP="006808E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C40CE7" w:rsidRDefault="00416092" w:rsidP="006808E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C40CE7" w:rsidRPr="00C40CE7">
        <w:rPr>
          <w:rFonts w:ascii="Times New Roman" w:hAnsi="Times New Roman" w:cs="Times New Roman"/>
          <w:sz w:val="24"/>
          <w:szCs w:val="24"/>
          <w:lang w:val="uk-UA"/>
        </w:rPr>
        <w:t xml:space="preserve">Проведення моніторингового дослідження дало змогу відстежити динаміку </w:t>
      </w:r>
      <w:r w:rsidR="005307A4">
        <w:rPr>
          <w:rFonts w:ascii="Times New Roman" w:hAnsi="Times New Roman" w:cs="Times New Roman"/>
          <w:sz w:val="24"/>
          <w:szCs w:val="24"/>
          <w:lang w:val="uk-UA"/>
        </w:rPr>
        <w:t>розвитку особистості дошкільників</w:t>
      </w:r>
      <w:r w:rsidR="00C40CE7" w:rsidRPr="00C40CE7">
        <w:rPr>
          <w:rFonts w:ascii="Times New Roman" w:hAnsi="Times New Roman" w:cs="Times New Roman"/>
          <w:sz w:val="24"/>
          <w:szCs w:val="24"/>
          <w:lang w:val="uk-UA"/>
        </w:rPr>
        <w:t>, встановити загальну картину розвиненості вихованців, що дозволить педагогам більш плідно і ефективно працювати над проблемами виявленими в ході вивчення.</w:t>
      </w:r>
    </w:p>
    <w:p w:rsidR="00416092" w:rsidRDefault="00416092" w:rsidP="006808E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16092">
        <w:rPr>
          <w:rFonts w:ascii="Times New Roman" w:hAnsi="Times New Roman" w:cs="Times New Roman"/>
          <w:sz w:val="24"/>
          <w:szCs w:val="24"/>
          <w:lang w:val="uk-UA"/>
        </w:rPr>
        <w:t>Загальний аналіз показав, що освітня робота, спрямована на розвиток та засвоєння основних компетенцій дитини за вимогами Базового компоненту дошкіль</w:t>
      </w:r>
      <w:r>
        <w:rPr>
          <w:rFonts w:ascii="Times New Roman" w:hAnsi="Times New Roman" w:cs="Times New Roman"/>
          <w:sz w:val="24"/>
          <w:szCs w:val="24"/>
          <w:lang w:val="uk-UA"/>
        </w:rPr>
        <w:t>ної освіти проводиться</w:t>
      </w:r>
      <w:r w:rsidRPr="00416092">
        <w:rPr>
          <w:rFonts w:ascii="Times New Roman" w:hAnsi="Times New Roman" w:cs="Times New Roman"/>
          <w:sz w:val="24"/>
          <w:szCs w:val="24"/>
          <w:lang w:val="uk-UA"/>
        </w:rPr>
        <w:t xml:space="preserve"> на належному рівні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Найвищі показники показали вихованці групи старшого дошкільного віку «Сонечко» та групи молодшого дошкільного віку «Зірочка». Що говорить про налагоджену роботу педагогів груп з батьками вихованців, гідний рівень підготовки та проведення дистанційних форм роботи. </w:t>
      </w:r>
    </w:p>
    <w:p w:rsidR="006808E8" w:rsidRPr="006808E8" w:rsidRDefault="006808E8" w:rsidP="006808E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В 2022 – 2023 навчальному році в зв’язку з подовженням</w:t>
      </w:r>
      <w:r w:rsidRPr="006808E8">
        <w:rPr>
          <w:rFonts w:ascii="Times New Roman" w:hAnsi="Times New Roman" w:cs="Times New Roman"/>
          <w:sz w:val="24"/>
          <w:szCs w:val="24"/>
          <w:lang w:val="uk-UA"/>
        </w:rPr>
        <w:t xml:space="preserve"> воєнного стану в Україні, педагогічному колективу ЗПШ «Еврика» довелося працювати в незвичних умовах: в дистанційній формі, он-лайн (через системи ZOOM конференцію та </w:t>
      </w:r>
      <w:proofErr w:type="spellStart"/>
      <w:r w:rsidRPr="006808E8">
        <w:rPr>
          <w:rFonts w:ascii="Times New Roman" w:hAnsi="Times New Roman" w:cs="Times New Roman"/>
          <w:sz w:val="24"/>
          <w:szCs w:val="24"/>
          <w:lang w:val="uk-UA"/>
        </w:rPr>
        <w:t>Google</w:t>
      </w:r>
      <w:proofErr w:type="spellEnd"/>
      <w:r w:rsidRPr="006808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808E8">
        <w:rPr>
          <w:rFonts w:ascii="Times New Roman" w:hAnsi="Times New Roman" w:cs="Times New Roman"/>
          <w:sz w:val="24"/>
          <w:szCs w:val="24"/>
          <w:lang w:val="uk-UA"/>
        </w:rPr>
        <w:t>Classroom</w:t>
      </w:r>
      <w:proofErr w:type="spellEnd"/>
      <w:r w:rsidRPr="006808E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6808E8">
        <w:rPr>
          <w:rFonts w:ascii="Times New Roman" w:hAnsi="Times New Roman" w:cs="Times New Roman"/>
          <w:sz w:val="24"/>
          <w:szCs w:val="24"/>
          <w:lang w:val="uk-UA"/>
        </w:rPr>
        <w:t>Viber</w:t>
      </w:r>
      <w:proofErr w:type="spellEnd"/>
      <w:r w:rsidRPr="006808E8">
        <w:rPr>
          <w:rFonts w:ascii="Times New Roman" w:hAnsi="Times New Roman" w:cs="Times New Roman"/>
          <w:sz w:val="24"/>
          <w:szCs w:val="24"/>
          <w:lang w:val="uk-UA"/>
        </w:rPr>
        <w:t>, електрону пошту, соціальну мережу «</w:t>
      </w:r>
      <w:proofErr w:type="spellStart"/>
      <w:r w:rsidRPr="006808E8">
        <w:rPr>
          <w:rFonts w:ascii="Times New Roman" w:hAnsi="Times New Roman" w:cs="Times New Roman"/>
          <w:sz w:val="24"/>
          <w:szCs w:val="24"/>
          <w:lang w:val="uk-UA"/>
        </w:rPr>
        <w:t>Фейсбук</w:t>
      </w:r>
      <w:proofErr w:type="spellEnd"/>
      <w:r w:rsidRPr="006808E8">
        <w:rPr>
          <w:rFonts w:ascii="Times New Roman" w:hAnsi="Times New Roman" w:cs="Times New Roman"/>
          <w:sz w:val="24"/>
          <w:szCs w:val="24"/>
          <w:lang w:val="uk-UA"/>
        </w:rPr>
        <w:t>», сайт ЗПШ «Еврика»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з платформою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Padlet</w:t>
      </w:r>
      <w:proofErr w:type="spellEnd"/>
      <w:r w:rsidRPr="006808E8">
        <w:rPr>
          <w:rFonts w:ascii="Times New Roman" w:hAnsi="Times New Roman" w:cs="Times New Roman"/>
          <w:sz w:val="24"/>
          <w:szCs w:val="24"/>
          <w:lang w:val="uk-UA"/>
        </w:rPr>
        <w:t>). Але, не зважаючи на умови, педагоги продовжували активно спі</w:t>
      </w:r>
      <w:r>
        <w:rPr>
          <w:rFonts w:ascii="Times New Roman" w:hAnsi="Times New Roman" w:cs="Times New Roman"/>
          <w:sz w:val="24"/>
          <w:szCs w:val="24"/>
          <w:lang w:val="uk-UA"/>
        </w:rPr>
        <w:t>впрацювати з вихованцями</w:t>
      </w:r>
      <w:r w:rsidRPr="006808E8">
        <w:rPr>
          <w:rFonts w:ascii="Times New Roman" w:hAnsi="Times New Roman" w:cs="Times New Roman"/>
          <w:sz w:val="24"/>
          <w:szCs w:val="24"/>
          <w:lang w:val="uk-UA"/>
        </w:rPr>
        <w:t xml:space="preserve"> та їх батьками надаючи високо кваліфіковану, фахову методичну, консультативну та іншу допомогу, для організації освітнього процес</w:t>
      </w:r>
      <w:r>
        <w:rPr>
          <w:rFonts w:ascii="Times New Roman" w:hAnsi="Times New Roman" w:cs="Times New Roman"/>
          <w:sz w:val="24"/>
          <w:szCs w:val="24"/>
          <w:lang w:val="uk-UA"/>
        </w:rPr>
        <w:t>у в домашніх умовах, умовах сім’ї. В</w:t>
      </w:r>
      <w:r w:rsidRPr="006808E8">
        <w:rPr>
          <w:rFonts w:ascii="Times New Roman" w:hAnsi="Times New Roman" w:cs="Times New Roman"/>
          <w:sz w:val="24"/>
          <w:szCs w:val="24"/>
          <w:lang w:val="uk-UA"/>
        </w:rPr>
        <w:t>имоги Баз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ового компоненту </w:t>
      </w:r>
      <w:r w:rsidRPr="006808E8">
        <w:rPr>
          <w:rFonts w:ascii="Times New Roman" w:hAnsi="Times New Roman" w:cs="Times New Roman"/>
          <w:sz w:val="24"/>
          <w:szCs w:val="24"/>
          <w:lang w:val="uk-UA"/>
        </w:rPr>
        <w:t>виконано.</w:t>
      </w:r>
    </w:p>
    <w:p w:rsidR="006808E8" w:rsidRPr="009315A0" w:rsidRDefault="006808E8" w:rsidP="006808E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11313" w:rsidRDefault="00811313" w:rsidP="0041609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11313" w:rsidRDefault="00811313" w:rsidP="00A857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11313" w:rsidRDefault="00811313" w:rsidP="00A857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6808E8" w:rsidRDefault="00824DE9" w:rsidP="008113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Діаграма моніторингу</w:t>
      </w:r>
      <w:r w:rsidR="00A857D9" w:rsidRPr="00A857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="00A857D9" w:rsidRPr="00A857D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реалізації змісту </w:t>
      </w:r>
      <w:r w:rsidR="006808E8">
        <w:rPr>
          <w:rFonts w:ascii="Times New Roman" w:eastAsia="Calibri" w:hAnsi="Times New Roman" w:cs="Times New Roman"/>
          <w:b/>
          <w:sz w:val="28"/>
          <w:szCs w:val="28"/>
          <w:lang w:val="uk-UA"/>
        </w:rPr>
        <w:t>БКДО</w:t>
      </w:r>
      <w:r w:rsidR="00A857D9" w:rsidRPr="00A857D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</w:p>
    <w:p w:rsidR="00824DE9" w:rsidRDefault="00A857D9" w:rsidP="008113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A857D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дошкільному підрозділі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ЗПШ</w:t>
      </w:r>
      <w:r w:rsidRPr="00A857D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«Еврика» </w:t>
      </w:r>
    </w:p>
    <w:p w:rsidR="00811313" w:rsidRPr="00824DE9" w:rsidRDefault="00811313" w:rsidP="008113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323738" w:rsidRDefault="00811313" w:rsidP="006927B1">
      <w:pPr>
        <w:rPr>
          <w:lang w:val="uk-UA"/>
        </w:rPr>
      </w:pPr>
      <w:r>
        <w:rPr>
          <w:lang w:val="uk-UA"/>
        </w:rPr>
        <w:t xml:space="preserve">              </w:t>
      </w:r>
      <w:r w:rsidR="0038179E">
        <w:rPr>
          <w:noProof/>
          <w:lang w:eastAsia="ru-RU"/>
        </w:rPr>
        <w:drawing>
          <wp:inline distT="0" distB="0" distL="0" distR="0">
            <wp:extent cx="4401820" cy="2514600"/>
            <wp:effectExtent l="0" t="0" r="1778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11313" w:rsidRDefault="00811313" w:rsidP="006927B1"/>
    <w:p w:rsidR="005307A4" w:rsidRDefault="00811313">
      <w:pPr>
        <w:rPr>
          <w:lang w:val="uk-UA"/>
        </w:rPr>
      </w:pPr>
      <w:r>
        <w:rPr>
          <w:lang w:val="uk-UA"/>
        </w:rPr>
        <w:t xml:space="preserve">              </w:t>
      </w:r>
      <w:r w:rsidR="00A857D9">
        <w:rPr>
          <w:noProof/>
          <w:lang w:eastAsia="ru-RU"/>
        </w:rPr>
        <w:drawing>
          <wp:inline distT="0" distB="0" distL="0" distR="0" wp14:anchorId="507C4880" wp14:editId="4AF6489E">
            <wp:extent cx="4401820" cy="2491740"/>
            <wp:effectExtent l="0" t="0" r="17780" b="381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11313" w:rsidRDefault="00811313"/>
    <w:p w:rsidR="00811313" w:rsidRPr="006808E8" w:rsidRDefault="00811313">
      <w:pPr>
        <w:rPr>
          <w:lang w:val="uk-UA"/>
        </w:rPr>
      </w:pPr>
      <w:r>
        <w:rPr>
          <w:lang w:val="uk-UA"/>
        </w:rPr>
        <w:t xml:space="preserve">              </w:t>
      </w:r>
      <w:r w:rsidR="005307A4">
        <w:rPr>
          <w:noProof/>
          <w:lang w:eastAsia="ru-RU"/>
        </w:rPr>
        <w:drawing>
          <wp:inline distT="0" distB="0" distL="0" distR="0" wp14:anchorId="502BBC7F" wp14:editId="38EB46DA">
            <wp:extent cx="4434840" cy="2562225"/>
            <wp:effectExtent l="0" t="0" r="381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811313" w:rsidRPr="00680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1BB"/>
    <w:rsid w:val="00023572"/>
    <w:rsid w:val="001761BB"/>
    <w:rsid w:val="00323738"/>
    <w:rsid w:val="00365FAF"/>
    <w:rsid w:val="0038179E"/>
    <w:rsid w:val="00416092"/>
    <w:rsid w:val="00435385"/>
    <w:rsid w:val="005307A4"/>
    <w:rsid w:val="00611D04"/>
    <w:rsid w:val="006808E8"/>
    <w:rsid w:val="00682FCF"/>
    <w:rsid w:val="006927B1"/>
    <w:rsid w:val="006D60F1"/>
    <w:rsid w:val="00811313"/>
    <w:rsid w:val="00824DE9"/>
    <w:rsid w:val="00832CB2"/>
    <w:rsid w:val="009315A0"/>
    <w:rsid w:val="009D0C39"/>
    <w:rsid w:val="009F498E"/>
    <w:rsid w:val="00A857D9"/>
    <w:rsid w:val="00B62FF1"/>
    <w:rsid w:val="00C1706B"/>
    <w:rsid w:val="00C3794C"/>
    <w:rsid w:val="00C40CE7"/>
    <w:rsid w:val="00CD5236"/>
    <w:rsid w:val="00FC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C4615-B805-4C8E-9134-70D059948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8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 sz="1400">
                <a:solidFill>
                  <a:srgbClr val="FF0000"/>
                </a:solidFill>
              </a:rPr>
              <a:t>На початок навч. року (84 дитини)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відсотки</c:v>
                </c:pt>
              </c:strCache>
            </c:strRef>
          </c:tx>
          <c:explosion val="1"/>
          <c:dPt>
            <c:idx val="0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1"/>
            <c:bubble3D val="0"/>
            <c:explosion val="2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2"/>
            <c:bubble3D val="0"/>
            <c:explosion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6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Lbls>
            <c:dLbl>
              <c:idx val="0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400" b="1" i="0" u="none" strike="noStrike" kern="1200" baseline="0">
                        <a:solidFill>
                          <a:schemeClr val="bg1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7152D00D-3F1F-49DC-B9C7-3E146BE659FB}" type="VALUE">
                      <a:rPr lang="en-US"/>
                      <a:pPr>
                        <a:defRPr sz="1400" b="1">
                          <a:solidFill>
                            <a:schemeClr val="bg1"/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[ЗНАЧЕНИЕ]</a:t>
                    </a:fld>
                    <a:r>
                      <a:rPr lang="en-US"/>
                      <a:t>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chemeClr val="bg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400" b="1" i="0" u="none" strike="noStrike" kern="1200" baseline="0">
                        <a:solidFill>
                          <a:schemeClr val="bg1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C60C6596-1555-4BFF-87F2-E7FCC84AEF83}" type="VALUE">
                      <a:rPr lang="en-US"/>
                      <a:pPr>
                        <a:defRPr sz="1400" b="1">
                          <a:solidFill>
                            <a:schemeClr val="bg1"/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[ЗНАЧЕНИЕ]</a:t>
                    </a:fld>
                    <a:r>
                      <a:rPr lang="en-US"/>
                      <a:t>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chemeClr val="bg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400" b="1" i="0" u="none" strike="noStrike" kern="1200" baseline="0">
                        <a:solidFill>
                          <a:schemeClr val="bg1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8FC62623-1045-4BAD-9E08-C63B5615A4D1}" type="VALUE">
                      <a:rPr lang="en-US"/>
                      <a:pPr>
                        <a:defRPr sz="1400" b="1">
                          <a:solidFill>
                            <a:schemeClr val="bg1"/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[ЗНАЧЕНИЕ]</a:t>
                    </a:fld>
                    <a:r>
                      <a:rPr lang="en-US"/>
                      <a:t>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chemeClr val="bg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-5.1921114027413664E-3"/>
                  <c:y val="9.2093175853018377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400" b="1" i="0" u="none" strike="noStrike" kern="1200" baseline="0">
                        <a:solidFill>
                          <a:schemeClr val="bg1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1495335B-5116-4DB9-80CC-CA8EEF3B969E}" type="VALUE">
                      <a:rPr lang="en-US"/>
                      <a:pPr>
                        <a:defRPr sz="1400" b="1">
                          <a:solidFill>
                            <a:schemeClr val="bg1"/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[ЗНАЧЕНИЕ]</a:t>
                    </a:fld>
                    <a:r>
                      <a:rPr lang="en-US"/>
                      <a:t>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chemeClr val="bg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високий</c:v>
                </c:pt>
                <c:pt idx="1">
                  <c:v>достатній</c:v>
                </c:pt>
                <c:pt idx="2">
                  <c:v>середній</c:v>
                </c:pt>
                <c:pt idx="3">
                  <c:v>низький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48</c:v>
                </c:pt>
                <c:pt idx="2">
                  <c:v>44</c:v>
                </c:pt>
                <c:pt idx="3">
                  <c:v>2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 sz="1400">
                <a:solidFill>
                  <a:srgbClr val="FF0000"/>
                </a:solidFill>
              </a:rPr>
              <a:t>На кінець</a:t>
            </a:r>
            <a:r>
              <a:rPr lang="ru-RU" sz="1400" baseline="0">
                <a:solidFill>
                  <a:srgbClr val="FF0000"/>
                </a:solidFill>
              </a:rPr>
              <a:t> І півріччя</a:t>
            </a:r>
            <a:r>
              <a:rPr lang="ru-RU" sz="1400">
                <a:solidFill>
                  <a:srgbClr val="FF0000"/>
                </a:solidFill>
              </a:rPr>
              <a:t> навч. року (79 дітей)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6891524163324125E-2"/>
          <c:y val="0.18809243421181901"/>
          <c:w val="0.6711519710266054"/>
          <c:h val="0.7187411006330912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відсотки</c:v>
                </c:pt>
              </c:strCache>
            </c:strRef>
          </c:tx>
          <c:explosion val="1"/>
          <c:dPt>
            <c:idx val="0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1"/>
            <c:bubble3D val="0"/>
            <c:explosion val="2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2"/>
            <c:bubble3D val="0"/>
            <c:explosion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6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Lbls>
            <c:dLbl>
              <c:idx val="0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400" b="1" i="0" u="none" strike="noStrike" kern="1200" baseline="0">
                        <a:solidFill>
                          <a:schemeClr val="bg1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7152D00D-3F1F-49DC-B9C7-3E146BE659FB}" type="VALUE">
                      <a:rPr lang="en-US"/>
                      <a:pPr>
                        <a:defRPr sz="1400" b="1">
                          <a:solidFill>
                            <a:schemeClr val="bg1"/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[ЗНАЧЕНИЕ]</a:t>
                    </a:fld>
                    <a:endParaRPr lang="ru-RU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chemeClr val="bg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400" b="1" i="0" u="none" strike="noStrike" kern="1200" baseline="0">
                        <a:solidFill>
                          <a:schemeClr val="bg1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C60C6596-1555-4BFF-87F2-E7FCC84AEF83}" type="VALUE">
                      <a:rPr lang="en-US"/>
                      <a:pPr>
                        <a:defRPr sz="1400" b="1">
                          <a:solidFill>
                            <a:schemeClr val="bg1"/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[ЗНАЧЕНИЕ]</a:t>
                    </a:fld>
                    <a:endParaRPr lang="ru-RU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chemeClr val="bg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400" b="1" i="0" u="none" strike="noStrike" kern="1200" baseline="0">
                        <a:solidFill>
                          <a:schemeClr val="bg1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8FC62623-1045-4BAD-9E08-C63B5615A4D1}" type="VALUE">
                      <a:rPr lang="en-US"/>
                      <a:pPr>
                        <a:defRPr sz="1400" b="1">
                          <a:solidFill>
                            <a:schemeClr val="bg1"/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[ЗНАЧЕНИЕ]</a:t>
                    </a:fld>
                    <a:endParaRPr lang="ru-RU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chemeClr val="bg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-5.1921114027413664E-3"/>
                  <c:y val="9.2093175853018377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400" b="1" i="0" u="none" strike="noStrike" kern="1200" baseline="0">
                        <a:solidFill>
                          <a:schemeClr val="bg1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1495335B-5116-4DB9-80CC-CA8EEF3B969E}" type="VALUE">
                      <a:rPr lang="en-US"/>
                      <a:pPr>
                        <a:defRPr sz="1400" b="1">
                          <a:solidFill>
                            <a:schemeClr val="bg1"/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[ЗНАЧЕНИЕ]</a:t>
                    </a:fld>
                    <a:r>
                      <a:rPr lang="en-US"/>
                      <a:t>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chemeClr val="bg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високий</c:v>
                </c:pt>
                <c:pt idx="1">
                  <c:v>достатній</c:v>
                </c:pt>
                <c:pt idx="2">
                  <c:v>середній</c:v>
                </c:pt>
                <c:pt idx="3">
                  <c:v>низький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0.13</c:v>
                </c:pt>
                <c:pt idx="1">
                  <c:v>0.53</c:v>
                </c:pt>
                <c:pt idx="2">
                  <c:v>0.34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 sz="1400">
                <a:solidFill>
                  <a:srgbClr val="FF0000"/>
                </a:solidFill>
              </a:rPr>
              <a:t>На кінець</a:t>
            </a:r>
            <a:r>
              <a:rPr lang="ru-RU" sz="1400" baseline="0">
                <a:solidFill>
                  <a:srgbClr val="FF0000"/>
                </a:solidFill>
              </a:rPr>
              <a:t> ІІ півріччя</a:t>
            </a:r>
            <a:r>
              <a:rPr lang="ru-RU" sz="1400">
                <a:solidFill>
                  <a:srgbClr val="FF0000"/>
                </a:solidFill>
              </a:rPr>
              <a:t> навч. року (86 дітей)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"/>
          <c:dPt>
            <c:idx val="0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1"/>
            <c:bubble3D val="0"/>
            <c:explosion val="2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2"/>
            <c:bubble3D val="0"/>
            <c:explosion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6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Lbls>
            <c:dLbl>
              <c:idx val="0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400" b="1" i="0" u="none" strike="noStrike" kern="1200" baseline="0">
                        <a:solidFill>
                          <a:schemeClr val="bg1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7152D00D-3F1F-49DC-B9C7-3E146BE659FB}" type="VALUE">
                      <a:rPr lang="en-US"/>
                      <a:pPr>
                        <a:defRPr sz="1400" b="1">
                          <a:solidFill>
                            <a:schemeClr val="bg1"/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[ЗНАЧЕНИЕ]</a:t>
                    </a:fld>
                    <a:endParaRPr lang="ru-RU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chemeClr val="bg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400" b="1" i="0" u="none" strike="noStrike" kern="1200" baseline="0">
                        <a:solidFill>
                          <a:schemeClr val="bg1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C60C6596-1555-4BFF-87F2-E7FCC84AEF83}" type="VALUE">
                      <a:rPr lang="en-US"/>
                      <a:pPr>
                        <a:defRPr sz="1400" b="1">
                          <a:solidFill>
                            <a:schemeClr val="bg1"/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[ЗНАЧЕНИЕ]</a:t>
                    </a:fld>
                    <a:endParaRPr lang="ru-RU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chemeClr val="bg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400" b="1" i="0" u="none" strike="noStrike" kern="1200" baseline="0">
                        <a:solidFill>
                          <a:schemeClr val="bg1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8FC62623-1045-4BAD-9E08-C63B5615A4D1}" type="VALUE">
                      <a:rPr lang="en-US"/>
                      <a:pPr>
                        <a:defRPr sz="1400" b="1">
                          <a:solidFill>
                            <a:schemeClr val="bg1"/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[ЗНАЧЕНИЕ]</a:t>
                    </a:fld>
                    <a:endParaRPr lang="ru-RU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chemeClr val="bg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-5.1921114027413664E-3"/>
                  <c:y val="9.2093175853018377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400" b="1" i="0" u="none" strike="noStrike" kern="1200" baseline="0">
                        <a:solidFill>
                          <a:schemeClr val="bg1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1495335B-5116-4DB9-80CC-CA8EEF3B969E}" type="VALUE">
                      <a:rPr lang="en-US"/>
                      <a:pPr>
                        <a:defRPr sz="1400" b="1">
                          <a:solidFill>
                            <a:schemeClr val="bg1"/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[ЗНАЧЕНИЕ]</a:t>
                    </a:fld>
                    <a:r>
                      <a:rPr lang="en-US"/>
                      <a:t>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chemeClr val="bg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високий</c:v>
                </c:pt>
                <c:pt idx="1">
                  <c:v>достатній</c:v>
                </c:pt>
                <c:pt idx="2">
                  <c:v>середній</c:v>
                </c:pt>
                <c:pt idx="3">
                  <c:v>низький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0.26</c:v>
                </c:pt>
                <c:pt idx="1">
                  <c:v>0.53</c:v>
                </c:pt>
                <c:pt idx="2">
                  <c:v>0.34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DA34F-50F5-41E6-8B36-91B5F8BAC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3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2022-09-28T12:34:00Z</dcterms:created>
  <dcterms:modified xsi:type="dcterms:W3CDTF">2023-05-29T21:23:00Z</dcterms:modified>
</cp:coreProperties>
</file>